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6A" w:rsidRDefault="0015746A" w:rsidP="0015746A">
      <w:pPr>
        <w:pStyle w:val="Tekstpodstawowy"/>
        <w:tabs>
          <w:tab w:val="left" w:pos="3402"/>
        </w:tabs>
        <w:spacing w:after="0"/>
        <w:rPr>
          <w:b/>
          <w:u w:val="single"/>
        </w:rPr>
      </w:pPr>
      <w:r>
        <w:rPr>
          <w:b/>
          <w:u w:val="single"/>
        </w:rPr>
        <w:t>Załącznik nr 1</w:t>
      </w:r>
    </w:p>
    <w:p w:rsidR="0015746A" w:rsidRDefault="0015746A" w:rsidP="0015746A">
      <w:pPr>
        <w:pStyle w:val="Tekstpodstawowy"/>
        <w:tabs>
          <w:tab w:val="left" w:pos="3402"/>
        </w:tabs>
        <w:spacing w:after="0"/>
        <w:rPr>
          <w:b/>
          <w:u w:val="single"/>
        </w:rPr>
      </w:pPr>
    </w:p>
    <w:p w:rsidR="0015746A" w:rsidRDefault="0015746A" w:rsidP="0015746A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20" w:line="240" w:lineRule="auto"/>
        <w:ind w:right="-426"/>
        <w:rPr>
          <w:rFonts w:ascii="Times New Roman" w:hAnsi="Times New Roman"/>
          <w:vanish/>
          <w:sz w:val="24"/>
          <w:szCs w:val="24"/>
          <w:lang w:eastAsia="pl-PL"/>
        </w:rPr>
      </w:pPr>
    </w:p>
    <w:p w:rsidR="0015746A" w:rsidRDefault="0015746A" w:rsidP="0015746A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20" w:line="240" w:lineRule="auto"/>
        <w:ind w:right="-426"/>
        <w:rPr>
          <w:rFonts w:ascii="Times New Roman" w:hAnsi="Times New Roman"/>
          <w:vanish/>
          <w:sz w:val="24"/>
          <w:szCs w:val="24"/>
          <w:lang w:eastAsia="pl-PL"/>
        </w:rPr>
      </w:pPr>
    </w:p>
    <w:p w:rsidR="0015746A" w:rsidRDefault="0015746A" w:rsidP="0015746A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20" w:line="240" w:lineRule="auto"/>
        <w:ind w:right="-426"/>
        <w:rPr>
          <w:rFonts w:ascii="Times New Roman" w:hAnsi="Times New Roman"/>
          <w:vanish/>
          <w:sz w:val="24"/>
          <w:szCs w:val="24"/>
          <w:lang w:eastAsia="pl-PL"/>
        </w:rPr>
      </w:pPr>
    </w:p>
    <w:p w:rsidR="0015746A" w:rsidRDefault="0015746A" w:rsidP="0015746A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20" w:line="240" w:lineRule="auto"/>
        <w:ind w:right="-426"/>
        <w:rPr>
          <w:rFonts w:ascii="Times New Roman" w:hAnsi="Times New Roman"/>
          <w:vanish/>
          <w:sz w:val="24"/>
          <w:szCs w:val="24"/>
          <w:lang w:eastAsia="pl-PL"/>
        </w:rPr>
      </w:pPr>
    </w:p>
    <w:p w:rsidR="0015746A" w:rsidRDefault="0015746A" w:rsidP="0015746A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20" w:line="240" w:lineRule="auto"/>
        <w:ind w:right="-426"/>
        <w:rPr>
          <w:rFonts w:ascii="Times New Roman" w:hAnsi="Times New Roman"/>
          <w:vanish/>
          <w:sz w:val="24"/>
          <w:szCs w:val="24"/>
          <w:lang w:eastAsia="pl-PL"/>
        </w:rPr>
      </w:pPr>
    </w:p>
    <w:p w:rsidR="0015746A" w:rsidRDefault="0015746A" w:rsidP="0015746A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20" w:line="240" w:lineRule="auto"/>
        <w:ind w:right="-426"/>
        <w:rPr>
          <w:rFonts w:ascii="Times New Roman" w:hAnsi="Times New Roman"/>
          <w:vanish/>
          <w:sz w:val="24"/>
          <w:szCs w:val="24"/>
          <w:lang w:eastAsia="pl-PL"/>
        </w:rPr>
      </w:pPr>
    </w:p>
    <w:p w:rsidR="0015746A" w:rsidRDefault="0015746A" w:rsidP="0015746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CHARAKTERYSTYKA PRZEDMIOTU ZAMÓWIENIA</w:t>
      </w:r>
    </w:p>
    <w:p w:rsidR="0015746A" w:rsidRDefault="0015746A" w:rsidP="0015746A">
      <w:pPr>
        <w:pStyle w:val="NormalnyWeb"/>
        <w:shd w:val="clear" w:color="auto" w:fill="D9D9D9"/>
        <w:jc w:val="center"/>
        <w:rPr>
          <w:b/>
          <w:bCs/>
          <w:color w:val="FF0000"/>
          <w:sz w:val="32"/>
          <w:szCs w:val="32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,,Dostawa fabrycznie nowego podnośnika koszowego na podwoziu pojazdu samochodowego o dopuszczalnej masie całkowitej do 3,5 tony.” </w:t>
      </w:r>
    </w:p>
    <w:p w:rsidR="0015746A" w:rsidRDefault="0015746A" w:rsidP="0015746A">
      <w:pPr>
        <w:tabs>
          <w:tab w:val="left" w:pos="360"/>
        </w:tabs>
        <w:jc w:val="both"/>
        <w:rPr>
          <w:rFonts w:eastAsia="Times New Roman"/>
          <w:color w:val="FF0000"/>
        </w:rPr>
      </w:pPr>
    </w:p>
    <w:p w:rsidR="0015746A" w:rsidRDefault="0015746A" w:rsidP="0015746A">
      <w:pPr>
        <w:tabs>
          <w:tab w:val="left" w:pos="360"/>
        </w:tabs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Fabrycznie </w:t>
      </w:r>
      <w:r>
        <w:rPr>
          <w:b/>
        </w:rPr>
        <w:t>nowy podnośnik koszowy na podwoziu pojazdu samochodowego                                o dopuszczalnej masie całkowitej do 3,5 tony</w:t>
      </w:r>
      <w:r>
        <w:rPr>
          <w:rFonts w:eastAsia="Times New Roman"/>
          <w:b/>
        </w:rPr>
        <w:t xml:space="preserve"> musi  być kompletny, wolny od wad fizycznych (konstrukcyjnych, materiałowych, wykonawczych), technicznych                        oraz prawnych, nie może być prototypem lub urządzeniem robionym na potrzeby tego zamówienia  i musi spełniać poniższe wymagania, przy czym Zamawiający dopuszcza złożenie oferty z wyposażeniem lepszym od wymagań minimalnych. </w:t>
      </w:r>
    </w:p>
    <w:p w:rsidR="0015746A" w:rsidRDefault="0015746A" w:rsidP="0015746A">
      <w:pPr>
        <w:tabs>
          <w:tab w:val="left" w:pos="360"/>
        </w:tabs>
        <w:jc w:val="both"/>
        <w:rPr>
          <w:rFonts w:eastAsia="Times New Roman"/>
          <w:b/>
        </w:rPr>
      </w:pPr>
    </w:p>
    <w:p w:rsidR="0015746A" w:rsidRDefault="0015746A" w:rsidP="0015746A">
      <w:pPr>
        <w:rPr>
          <w:color w:val="000000"/>
          <w:lang w:eastAsia="en-US"/>
        </w:rPr>
      </w:pPr>
      <w:r>
        <w:rPr>
          <w:color w:val="000000"/>
          <w:lang w:eastAsia="en-US"/>
        </w:rPr>
        <w:br/>
        <w:t>1.   P</w:t>
      </w:r>
      <w:r>
        <w:rPr>
          <w:b/>
          <w:color w:val="000000"/>
          <w:lang w:eastAsia="en-US"/>
        </w:rPr>
        <w:t>arametry  techniczne i jakościowe, jakimi powinien odpowiadać zamawiany                     w postępowaniu podnośnik koszowego na podwoziu pojazdu samochodowego                            o dopuszczalnej masie całkowitej do 3,5 tony:</w:t>
      </w:r>
      <w:r>
        <w:rPr>
          <w:color w:val="000000"/>
          <w:lang w:eastAsia="en-US"/>
        </w:rPr>
        <w:br/>
      </w:r>
    </w:p>
    <w:p w:rsidR="0015746A" w:rsidRDefault="0015746A" w:rsidP="0015746A">
      <w:pPr>
        <w:numPr>
          <w:ilvl w:val="1"/>
          <w:numId w:val="2"/>
        </w:numPr>
        <w:tabs>
          <w:tab w:val="num" w:pos="812"/>
        </w:tabs>
        <w:spacing w:before="60"/>
        <w:rPr>
          <w:b/>
        </w:rPr>
      </w:pPr>
      <w:r>
        <w:rPr>
          <w:b/>
        </w:rPr>
        <w:t>Opis fabrycznie nowego samochodu do zabudowy:</w:t>
      </w:r>
    </w:p>
    <w:p w:rsidR="0015746A" w:rsidRDefault="0015746A" w:rsidP="0015746A">
      <w:pPr>
        <w:numPr>
          <w:ilvl w:val="1"/>
          <w:numId w:val="3"/>
        </w:numPr>
      </w:pPr>
      <w:r>
        <w:t>rok produkcji min. 2019,</w:t>
      </w:r>
    </w:p>
    <w:p w:rsidR="0015746A" w:rsidRDefault="0015746A" w:rsidP="0015746A">
      <w:pPr>
        <w:numPr>
          <w:ilvl w:val="1"/>
          <w:numId w:val="3"/>
        </w:numPr>
      </w:pPr>
      <w:r>
        <w:t>masa całkowita samochodu wraz z zabudową: do 3,5 tony,</w:t>
      </w:r>
    </w:p>
    <w:p w:rsidR="0015746A" w:rsidRDefault="0015746A" w:rsidP="0015746A">
      <w:pPr>
        <w:numPr>
          <w:ilvl w:val="1"/>
          <w:numId w:val="3"/>
        </w:numPr>
      </w:pPr>
      <w:r>
        <w:t>silnik wysokoprężny o mocy minimum 100 KM, norma emisji spalin: min. Euro 6 ,,lub równoważne”</w:t>
      </w:r>
    </w:p>
    <w:p w:rsidR="0015746A" w:rsidRDefault="0015746A" w:rsidP="0015746A">
      <w:pPr>
        <w:numPr>
          <w:ilvl w:val="1"/>
          <w:numId w:val="3"/>
        </w:numPr>
      </w:pPr>
      <w:r>
        <w:t>pojemność silnika pojazdu: minimum 2000 cm</w:t>
      </w:r>
      <w:r>
        <w:rPr>
          <w:vertAlign w:val="superscript"/>
        </w:rPr>
        <w:t>3,</w:t>
      </w:r>
    </w:p>
    <w:p w:rsidR="0015746A" w:rsidRDefault="0015746A" w:rsidP="0015746A">
      <w:pPr>
        <w:numPr>
          <w:ilvl w:val="1"/>
          <w:numId w:val="3"/>
        </w:numPr>
      </w:pPr>
      <w:r>
        <w:t>skrzynia biegów manualna z min. 5 biegami + bieg wsteczny,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t>napęd tylny,</w:t>
      </w:r>
      <w:r>
        <w:rPr>
          <w:lang w:eastAsia="ar-SA"/>
        </w:rPr>
        <w:t xml:space="preserve"> opony bezdętkowe,</w:t>
      </w:r>
    </w:p>
    <w:p w:rsidR="0015746A" w:rsidRDefault="0015746A" w:rsidP="0015746A">
      <w:pPr>
        <w:numPr>
          <w:ilvl w:val="1"/>
          <w:numId w:val="3"/>
        </w:numPr>
      </w:pPr>
      <w:r>
        <w:t>bliźniacze koła tylne,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wyposażenie dodatkowe: system ESP, ABS,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układ kierowniczy ze wspomaganiem, regulowana kolumna kierownicy,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kabina 3-osobowa (kierowca + 2 osoby), siedzenia w układzie 1 + 2,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liczba drzwi: 2 – drzwiowy,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wyposażenie standardowe pojazdu, tj.  pełnowymiarowe koło zapasowe, podnośnik samochodowy, fabryczny komplet kluczy, klucz do kół, gaśnica proszkowa typu samochodowego, umieszczona w pobliżu siedzenia kierowcy, trójkąt ostrzegawczy, apteczka,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oświetlenie wewnętrzne kabiny, oświetlenie zewnętrzne wg obowiązujących przepisów ruchu drogowego,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światła przeciwmgielne,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zewnętrzna sygnalizacja akustyczna cofania,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wyposażenie wewnętrzne: fabrycznie nowe radio z głośnikami i anteną, dywaniki gumowe,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elektrycznie sterowane szyby, szyba w tylnej ścianie kabiny,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lusterka wsteczne wg obowiązujących przepisów ruchu drogowego, elektrycznie regulowane, również zamontowane lusterko wsteczne w kabinie,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zabezpieczenie: immobiliser,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centralny zamek,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kolor: preferowany biały,</w:t>
      </w:r>
    </w:p>
    <w:p w:rsidR="0015746A" w:rsidRDefault="0015746A" w:rsidP="0015746A">
      <w:pPr>
        <w:rPr>
          <w:lang w:eastAsia="ar-SA"/>
        </w:rPr>
      </w:pPr>
    </w:p>
    <w:p w:rsidR="0015746A" w:rsidRDefault="0015746A" w:rsidP="0015746A">
      <w:pPr>
        <w:rPr>
          <w:lang w:eastAsia="ar-SA"/>
        </w:rPr>
      </w:pP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fartuchy przeciw błotne kół przednich.</w:t>
      </w:r>
    </w:p>
    <w:p w:rsidR="0015746A" w:rsidRDefault="0015746A" w:rsidP="0015746A">
      <w:pPr>
        <w:ind w:left="902"/>
        <w:rPr>
          <w:highlight w:val="yellow"/>
        </w:rPr>
      </w:pPr>
    </w:p>
    <w:p w:rsidR="0015746A" w:rsidRDefault="0015746A" w:rsidP="0015746A">
      <w:pPr>
        <w:numPr>
          <w:ilvl w:val="1"/>
          <w:numId w:val="2"/>
        </w:numPr>
        <w:tabs>
          <w:tab w:val="num" w:pos="812"/>
        </w:tabs>
        <w:spacing w:before="60"/>
        <w:rPr>
          <w:b/>
        </w:rPr>
      </w:pPr>
      <w:r>
        <w:rPr>
          <w:b/>
        </w:rPr>
        <w:t>Parametry fabrycznie nowej zabudowy pojazdu: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rok produkcji zabudowy min. 2020,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 xml:space="preserve">kolor zabudowy: preferowany biały, 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podnośnika koszowego przegubowo-teleskopowy tzw. pantograf,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sterowanie co najmniej hydrauliczne w koszu i z poziomu ziemi zabezpieczone przed warunkami atmosferycznymi,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dodatkowe st</w:t>
      </w:r>
      <w:r>
        <w:rPr>
          <w:lang w:eastAsia="ar-SA"/>
        </w:rPr>
        <w:t>erowanie zdalne na kablu o dł. m</w:t>
      </w:r>
      <w:r>
        <w:rPr>
          <w:lang w:eastAsia="ar-SA"/>
        </w:rPr>
        <w:t>in 10 m</w:t>
      </w:r>
      <w:r>
        <w:rPr>
          <w:lang w:eastAsia="ar-SA"/>
        </w:rPr>
        <w:t xml:space="preserve"> lub sterowanie bezprzewodowe</w:t>
      </w:r>
      <w:bookmarkStart w:id="0" w:name="_GoBack"/>
      <w:bookmarkEnd w:id="0"/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minimalna wysokość robocza: 21 metrów,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udźwig kosza: min. 2 osoby i min. 240 kg,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wysięg boczny przy pełnym koszu: min. 8 metrów,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wysięg boczny przy wadze 120 kg (jedna osoba+ narzędzia): min. 11 metra,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kosz obrotowy co najmniej 90</w:t>
      </w:r>
      <w:r>
        <w:rPr>
          <w:vertAlign w:val="superscript"/>
          <w:lang w:eastAsia="ar-SA"/>
        </w:rPr>
        <w:t xml:space="preserve"> </w:t>
      </w:r>
      <w:r>
        <w:rPr>
          <w:lang w:eastAsia="ar-SA"/>
        </w:rPr>
        <w:t>stopni w prawo i lewo,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 xml:space="preserve">kosz ażurowy, rurkowy, nie zabudowany, 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bezpośredni dostęp do kosza z powierzchni terenu,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podpory rozstawne hydrauliczne (4 szt.), typ H,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zakres obrotu osi podnośnika min.</w:t>
      </w:r>
      <w:r>
        <w:rPr>
          <w:color w:val="000000"/>
          <w:lang w:eastAsia="ar-SA"/>
        </w:rPr>
        <w:t xml:space="preserve"> 600 </w:t>
      </w:r>
      <w:r>
        <w:rPr>
          <w:color w:val="000000"/>
          <w:vertAlign w:val="superscript"/>
          <w:lang w:eastAsia="ar-SA"/>
        </w:rPr>
        <w:t>o</w:t>
      </w:r>
      <w:r>
        <w:rPr>
          <w:lang w:eastAsia="ar-SA"/>
        </w:rPr>
        <w:t>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automatyczne poziomowanie kosza,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licznik motogodzin,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układ awaryjnego opuszczania kosza, awaryjna pompa ręczna,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gniazdo elektryczne 230V/10A w koszu,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przeciwpoślizgowa aluminiowa podłoga platformy roboczej,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sterowanie ramionami podnośnika przy pomocy zsynchronizowanych teleskopów cylindrycznych,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oznakowanie ostrzegawcze pojazdu zgodnie z przepisami, tj. pasy ostrzegawcze,  sygnalizacyjna błyskowa na dachu kabiny,  dwie lampy ostrzegawcze koloru żółtego umiejscowione na dachu samochodu ,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zabudowa musi odpowiadać wytycznym dyrektywy 89/392 EWG i posiadać znak CE ,,lub równoważne”</w:t>
      </w:r>
    </w:p>
    <w:p w:rsidR="0015746A" w:rsidRDefault="0015746A" w:rsidP="0015746A">
      <w:pPr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 xml:space="preserve">pojazd dostosowany do eksploatacji we wszystkich porach roku i doby                        w warunkach atmosferycznych spotykanych w polskiej strefie klimatycznej                    w temperaturach otoczenia od -15 </w:t>
      </w:r>
      <w:r>
        <w:rPr>
          <w:vertAlign w:val="superscript"/>
          <w:lang w:eastAsia="ar-SA"/>
        </w:rPr>
        <w:t>0</w:t>
      </w:r>
      <w:r>
        <w:rPr>
          <w:lang w:eastAsia="ar-SA"/>
        </w:rPr>
        <w:t>C do + 50</w:t>
      </w:r>
      <w:r>
        <w:rPr>
          <w:vertAlign w:val="superscript"/>
          <w:lang w:eastAsia="ar-SA"/>
        </w:rPr>
        <w:t>0</w:t>
      </w:r>
      <w:r>
        <w:rPr>
          <w:lang w:eastAsia="ar-SA"/>
        </w:rPr>
        <w:t>C.</w:t>
      </w:r>
    </w:p>
    <w:p w:rsidR="0015746A" w:rsidRDefault="0015746A" w:rsidP="0015746A">
      <w:pPr>
        <w:ind w:left="1440"/>
        <w:rPr>
          <w:lang w:eastAsia="ar-SA"/>
        </w:rPr>
      </w:pPr>
    </w:p>
    <w:p w:rsidR="0015746A" w:rsidRDefault="0015746A" w:rsidP="0015746A">
      <w:pPr>
        <w:tabs>
          <w:tab w:val="num" w:pos="812"/>
        </w:tabs>
        <w:spacing w:before="60"/>
        <w:ind w:left="826"/>
        <w:rPr>
          <w:b/>
        </w:rPr>
      </w:pPr>
      <w:r>
        <w:rPr>
          <w:b/>
        </w:rPr>
        <w:t>2. Wymagania dodatkowe:</w:t>
      </w:r>
    </w:p>
    <w:p w:rsidR="0015746A" w:rsidRDefault="0015746A" w:rsidP="0015746A">
      <w:pPr>
        <w:numPr>
          <w:ilvl w:val="1"/>
          <w:numId w:val="4"/>
        </w:numPr>
        <w:jc w:val="both"/>
      </w:pPr>
      <w:r>
        <w:t>dostawa podnośnika koszowego wraz z wszystkimi niezbędnymi dokumentami do siedziby Rejonowego Przedsiębiorstwa Zieleni i Usług Komunalnych                Sp.  z.o.o. ul. Sandomierska 249, 25-330 Kielce,</w:t>
      </w:r>
    </w:p>
    <w:p w:rsidR="0015746A" w:rsidRDefault="0015746A" w:rsidP="0015746A">
      <w:pPr>
        <w:numPr>
          <w:ilvl w:val="1"/>
          <w:numId w:val="4"/>
        </w:numPr>
        <w:tabs>
          <w:tab w:val="num" w:pos="3060"/>
        </w:tabs>
        <w:jc w:val="both"/>
      </w:pPr>
      <w:r>
        <w:t xml:space="preserve">pojazd musi posiadać wszystkie instrukcje niezbędne do prawidłowej obsługi </w:t>
      </w:r>
      <w:r>
        <w:br w:type="textWrapping" w:clear="all"/>
        <w:t xml:space="preserve">i eksploatacji podnośnika koszowego w języku polskim (np. instrukcja obsługi, konserwacji i eksploatacji podnośnika, instrukcja obsługi zawierająca m.in. charakterystykę techniczną urządzenia, książkę przeglądów, zalecenia odnośnie konserwacji i środków roboczych, dokumentację </w:t>
      </w:r>
      <w:proofErr w:type="spellStart"/>
      <w:r>
        <w:t>techniczno</w:t>
      </w:r>
      <w:proofErr w:type="spellEnd"/>
      <w:r>
        <w:t xml:space="preserve"> –ruchową niezbędną do rejestracji w UDT ) - odpowiednie dokumenty należy dostarczyć do siedziby Zamawiającego wraz z dostawą podnośnika,</w:t>
      </w:r>
    </w:p>
    <w:p w:rsidR="0015746A" w:rsidRDefault="0015746A" w:rsidP="0015746A">
      <w:pPr>
        <w:numPr>
          <w:ilvl w:val="1"/>
          <w:numId w:val="4"/>
        </w:numPr>
        <w:tabs>
          <w:tab w:val="num" w:pos="3060"/>
        </w:tabs>
        <w:jc w:val="both"/>
      </w:pPr>
      <w:r>
        <w:lastRenderedPageBreak/>
        <w:t xml:space="preserve">pojazd musi posiadać niezbędne wyposażenie i dokumenty dopuszczające              go do ruchu drogowego na terenie Rzeczypospolitej Polskiej i umożliwiające jego natychmiastową rejestrację i eksploatację, </w:t>
      </w:r>
    </w:p>
    <w:p w:rsidR="0015746A" w:rsidRDefault="0015746A" w:rsidP="0015746A">
      <w:pPr>
        <w:numPr>
          <w:ilvl w:val="1"/>
          <w:numId w:val="4"/>
        </w:numPr>
        <w:tabs>
          <w:tab w:val="num" w:pos="3060"/>
        </w:tabs>
        <w:jc w:val="both"/>
      </w:pPr>
      <w:r>
        <w:t xml:space="preserve">Wykonawca zapewni bezpłatne przeszkolenie personelu Zamawiającego                   na miejscu dostawy w zakresie: uruchomienia, eksploatacji i konserwacji codziennej (bieżącej) dostarczonego podnośnika koszowego – szkolenie należy udokumentować protokólarnie. </w:t>
      </w:r>
    </w:p>
    <w:p w:rsidR="0015746A" w:rsidRDefault="0015746A" w:rsidP="0015746A">
      <w:pPr>
        <w:numPr>
          <w:ilvl w:val="1"/>
          <w:numId w:val="4"/>
        </w:numPr>
        <w:jc w:val="both"/>
      </w:pPr>
      <w:r>
        <w:t xml:space="preserve">Wykonawca udzieli 48 miesięcznego okresu gwarancji na cały pojazd                     lub 120.000 km (w zależności od tego, co nastąpi pierwsze) na podwozie                             i zabudowę. Gwarancja liczona będzie od daty podpisania protokołu odbioru pojazdu bez zastrzeżeń. </w:t>
      </w:r>
    </w:p>
    <w:p w:rsidR="0015746A" w:rsidRDefault="0015746A" w:rsidP="0015746A">
      <w:pPr>
        <w:ind w:left="1420"/>
        <w:jc w:val="both"/>
      </w:pPr>
      <w:r>
        <w:t>W okresie gwarancji Wykonawca zobowiązany jest do  zapewnienia serwisu gwarancyjnego dla proponowanego pojazdu z czasem reakcji do 24 godzin  (dni robocze od poniedziałku do piątku)  od telefonicznego lub pisemnego powiadomienia przez Zamawiającego o  zaistniałym problemie. Wykonawca zobowiązany jest zapewnić czas naprawy podnośnika do 48 godzin  (dni robocze od poniedziałku do piątku) od momentu telefonicznego lub pisemnego powiadomienia przez Zamawiającego  o zaistniałym problemie. W przypadku napraw trwających dłużej niż 48 godzin (dni robocze od poniedziałku                      do piątku) czas naprawy wydłuża czas trwania okresu gwarancyjnego.</w:t>
      </w:r>
    </w:p>
    <w:p w:rsidR="0015746A" w:rsidRDefault="0015746A" w:rsidP="0015746A">
      <w:pPr>
        <w:ind w:left="1420"/>
        <w:jc w:val="both"/>
      </w:pPr>
      <w:r>
        <w:t xml:space="preserve">W okresie gwarancji naprawa i przeglądy podnośnika odbywać się będą: </w:t>
      </w:r>
    </w:p>
    <w:p w:rsidR="0015746A" w:rsidRDefault="0015746A" w:rsidP="0015746A">
      <w:pPr>
        <w:ind w:left="1420"/>
        <w:jc w:val="both"/>
      </w:pPr>
      <w:r>
        <w:t xml:space="preserve"> w siedzibie Zamawiającego (serwis zabudowy)  lub na terenie serwisu samochodu do zabudowy (punkt serwisu samochodu do zabudowy musi znajdować się w odległości nie większej niż 200 km od siedziby Zamawiającego przy ul. Sandomierskiej 249, 25-330 Kielce). </w:t>
      </w:r>
    </w:p>
    <w:p w:rsidR="0015746A" w:rsidRDefault="0015746A" w:rsidP="0015746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przypadku konieczności odstawienia pojazdu do serwisu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w okresie gwarancji      w celu naprawy Wykonawca pokryje wszelkie koszty z tym związane.</w:t>
      </w:r>
    </w:p>
    <w:p w:rsidR="0015746A" w:rsidRDefault="0015746A" w:rsidP="0015746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okresie gwarancji i rękojmi Wykonawca obowiązany jest do nieodpłatnego usuwania stwierdzonych wad wynikających z nienależytego wykonania zamówienia oraz wad urządzeń i materiałów. </w:t>
      </w:r>
    </w:p>
    <w:p w:rsidR="0015746A" w:rsidRDefault="0015746A" w:rsidP="0015746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Strony postanawiają</w:t>
      </w:r>
      <w:r>
        <w:rPr>
          <w:rFonts w:ascii="Times New Roman" w:hAnsi="Times New Roman"/>
          <w:sz w:val="24"/>
          <w:szCs w:val="24"/>
        </w:rPr>
        <w:t>, że z odbioru czynności serwisowych będzie spisany protokół odbioru.</w:t>
      </w:r>
    </w:p>
    <w:p w:rsidR="0015746A" w:rsidRDefault="0015746A" w:rsidP="0015746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udzieli zgody na piśmie na montaż urządzeń do monitorowania                         i lokalizacji pojazdu w trakcie trwania gwarancji.   </w:t>
      </w:r>
    </w:p>
    <w:p w:rsidR="0015746A" w:rsidRDefault="0015746A" w:rsidP="0015746A">
      <w:pPr>
        <w:jc w:val="both"/>
        <w:rPr>
          <w:color w:val="000000"/>
          <w:lang w:eastAsia="en-US"/>
        </w:rPr>
      </w:pPr>
    </w:p>
    <w:p w:rsidR="0015746A" w:rsidRDefault="0015746A" w:rsidP="0015746A">
      <w:pPr>
        <w:jc w:val="both"/>
        <w:rPr>
          <w:color w:val="000000"/>
          <w:lang w:eastAsia="en-US"/>
        </w:rPr>
      </w:pPr>
    </w:p>
    <w:p w:rsidR="0015746A" w:rsidRDefault="0015746A" w:rsidP="0015746A">
      <w:pPr>
        <w:jc w:val="both"/>
        <w:rPr>
          <w:rFonts w:eastAsia="Arial Unicode MS"/>
          <w:color w:val="000000"/>
        </w:rPr>
      </w:pPr>
      <w:r>
        <w:rPr>
          <w:rFonts w:eastAsia="Arial Unicode MS"/>
        </w:rPr>
        <w:t xml:space="preserve">Wymagane kryteria </w:t>
      </w:r>
      <w:r>
        <w:t>uwzględniające wymogi wynikające z Rozporządzenia Prezesa Rady Ministrów z dnia 10 maja 2011r. w sprawie innych niż cena obowiązkowych kryteriów oceny ofert w odniesieniu do niektórych rodzajów zamówień publicznych (Dz. U. z 2011r., Nr 96, poz. 559)</w:t>
      </w:r>
      <w:r>
        <w:rPr>
          <w:bCs/>
        </w:rPr>
        <w:t xml:space="preserve"> </w:t>
      </w:r>
      <w:r>
        <w:rPr>
          <w:rFonts w:eastAsia="Arial Unicode MS"/>
        </w:rPr>
        <w:t xml:space="preserve">oferowanego pojazdu; </w:t>
      </w:r>
      <w:r>
        <w:rPr>
          <w:bCs/>
        </w:rPr>
        <w:t xml:space="preserve">ZUŻYCIE ENERGII </w:t>
      </w:r>
      <w:r>
        <w:t xml:space="preserve">(wyrażone w MJ/km - z dokładnością do dwóch miejsc po  przecinku) nie większe niż 4,03 MJ/km, </w:t>
      </w:r>
      <w:r>
        <w:rPr>
          <w:color w:val="000000"/>
        </w:rPr>
        <w:t xml:space="preserve">norma emisji spalin:                         min. Euro 6.   </w:t>
      </w:r>
    </w:p>
    <w:p w:rsidR="0015746A" w:rsidRDefault="0015746A" w:rsidP="0015746A">
      <w:pPr>
        <w:jc w:val="both"/>
        <w:rPr>
          <w:rFonts w:eastAsia="Arial Unicode MS"/>
        </w:rPr>
      </w:pPr>
      <w:r>
        <w:t xml:space="preserve">   </w:t>
      </w:r>
    </w:p>
    <w:p w:rsidR="0015746A" w:rsidRDefault="0015746A" w:rsidP="0015746A">
      <w:pPr>
        <w:jc w:val="both"/>
        <w:rPr>
          <w:rFonts w:eastAsia="Times New Roman"/>
        </w:rPr>
      </w:pPr>
      <w:r>
        <w:rPr>
          <w:rFonts w:eastAsia="Times New Roman"/>
        </w:rPr>
        <w:t xml:space="preserve">Pojazd musi spełniać wymagania techniczne określone przez obowiązujące w Polsce przepisy dla pojazdów poruszających się po drogach publicznych, w tym warunki techniczne wynikające z ustawy z dnia 20 czerwca 1997r. Prawo o ruchu drogowym oraz rozporządzeń wykonawczych do tej ustawy w tym posiadać homologację, wystawioną zgodnie                               z art. 68 ustawy Prawo o ruchu drogowym. </w:t>
      </w:r>
    </w:p>
    <w:p w:rsidR="0015746A" w:rsidRDefault="0015746A" w:rsidP="0015746A">
      <w:pPr>
        <w:rPr>
          <w:b/>
          <w:lang w:eastAsia="en-US"/>
        </w:rPr>
      </w:pPr>
    </w:p>
    <w:p w:rsidR="0015746A" w:rsidRDefault="0015746A" w:rsidP="0015746A">
      <w:pPr>
        <w:rPr>
          <w:lang w:eastAsia="en-US"/>
        </w:rPr>
      </w:pPr>
    </w:p>
    <w:p w:rsidR="0015746A" w:rsidRDefault="0015746A" w:rsidP="0015746A">
      <w:pPr>
        <w:rPr>
          <w:lang w:eastAsia="en-US"/>
        </w:rPr>
      </w:pPr>
    </w:p>
    <w:p w:rsidR="0015746A" w:rsidRDefault="0015746A" w:rsidP="0015746A">
      <w:pPr>
        <w:rPr>
          <w:lang w:eastAsia="en-US"/>
        </w:rPr>
      </w:pPr>
    </w:p>
    <w:p w:rsidR="0015746A" w:rsidRDefault="0015746A" w:rsidP="0015746A">
      <w:pPr>
        <w:pStyle w:val="Tekstpodstawowy"/>
        <w:tabs>
          <w:tab w:val="left" w:pos="3402"/>
        </w:tabs>
        <w:spacing w:after="0"/>
        <w:rPr>
          <w:b/>
          <w:u w:val="single"/>
        </w:rPr>
      </w:pPr>
    </w:p>
    <w:p w:rsidR="0015746A" w:rsidRDefault="0015746A" w:rsidP="0015746A">
      <w:pPr>
        <w:pStyle w:val="Tekstpodstawowy"/>
        <w:tabs>
          <w:tab w:val="left" w:pos="3402"/>
        </w:tabs>
        <w:spacing w:after="0"/>
        <w:rPr>
          <w:b/>
          <w:u w:val="single"/>
        </w:rPr>
      </w:pPr>
    </w:p>
    <w:p w:rsidR="0015746A" w:rsidRDefault="0015746A" w:rsidP="0015746A">
      <w:pPr>
        <w:tabs>
          <w:tab w:val="left" w:pos="3402"/>
        </w:tabs>
        <w:spacing w:line="360" w:lineRule="auto"/>
        <w:rPr>
          <w:u w:val="single"/>
        </w:rPr>
      </w:pPr>
    </w:p>
    <w:p w:rsidR="0015746A" w:rsidRDefault="0015746A" w:rsidP="0015746A">
      <w:pPr>
        <w:tabs>
          <w:tab w:val="left" w:pos="3402"/>
        </w:tabs>
        <w:spacing w:line="360" w:lineRule="auto"/>
        <w:rPr>
          <w:u w:val="single"/>
        </w:rPr>
      </w:pPr>
    </w:p>
    <w:p w:rsidR="0015746A" w:rsidRDefault="0015746A" w:rsidP="0015746A">
      <w:pPr>
        <w:tabs>
          <w:tab w:val="left" w:pos="3402"/>
        </w:tabs>
        <w:spacing w:line="360" w:lineRule="auto"/>
        <w:rPr>
          <w:u w:val="single"/>
        </w:rPr>
      </w:pPr>
    </w:p>
    <w:p w:rsidR="00D147FC" w:rsidRDefault="00D147FC"/>
    <w:sectPr w:rsidR="00D1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E83"/>
    <w:multiLevelType w:val="hybridMultilevel"/>
    <w:tmpl w:val="5E5EBEE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29B72BE"/>
    <w:multiLevelType w:val="hybridMultilevel"/>
    <w:tmpl w:val="6898F3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C7A8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66F5C"/>
    <w:multiLevelType w:val="hybridMultilevel"/>
    <w:tmpl w:val="B66CC3AE"/>
    <w:lvl w:ilvl="0" w:tplc="88FC8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AF8893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C06C7A8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38EC1FE2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A4B72"/>
    <w:multiLevelType w:val="multilevel"/>
    <w:tmpl w:val="3BF23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86" w:hanging="360"/>
      </w:pPr>
    </w:lvl>
    <w:lvl w:ilvl="2">
      <w:start w:val="1"/>
      <w:numFmt w:val="decimal"/>
      <w:lvlText w:val="%1.%2.%3."/>
      <w:lvlJc w:val="left"/>
      <w:pPr>
        <w:ind w:left="2372" w:hanging="720"/>
      </w:pPr>
    </w:lvl>
    <w:lvl w:ilvl="3">
      <w:start w:val="1"/>
      <w:numFmt w:val="decimal"/>
      <w:lvlText w:val="%1.%2.%3.%4."/>
      <w:lvlJc w:val="left"/>
      <w:pPr>
        <w:ind w:left="3198" w:hanging="720"/>
      </w:pPr>
    </w:lvl>
    <w:lvl w:ilvl="4">
      <w:start w:val="1"/>
      <w:numFmt w:val="decimal"/>
      <w:lvlText w:val="%1.%2.%3.%4.%5."/>
      <w:lvlJc w:val="left"/>
      <w:pPr>
        <w:ind w:left="4384" w:hanging="1080"/>
      </w:pPr>
    </w:lvl>
    <w:lvl w:ilvl="5">
      <w:start w:val="1"/>
      <w:numFmt w:val="decimal"/>
      <w:lvlText w:val="%1.%2.%3.%4.%5.%6."/>
      <w:lvlJc w:val="left"/>
      <w:pPr>
        <w:ind w:left="5210" w:hanging="1080"/>
      </w:pPr>
    </w:lvl>
    <w:lvl w:ilvl="6">
      <w:start w:val="1"/>
      <w:numFmt w:val="decimal"/>
      <w:lvlText w:val="%1.%2.%3.%4.%5.%6.%7."/>
      <w:lvlJc w:val="left"/>
      <w:pPr>
        <w:ind w:left="6396" w:hanging="1440"/>
      </w:pPr>
    </w:lvl>
    <w:lvl w:ilvl="7">
      <w:start w:val="1"/>
      <w:numFmt w:val="decimal"/>
      <w:lvlText w:val="%1.%2.%3.%4.%5.%6.%7.%8."/>
      <w:lvlJc w:val="left"/>
      <w:pPr>
        <w:ind w:left="7222" w:hanging="1440"/>
      </w:pPr>
    </w:lvl>
    <w:lvl w:ilvl="8">
      <w:start w:val="1"/>
      <w:numFmt w:val="decimal"/>
      <w:lvlText w:val="%1.%2.%3.%4.%5.%6.%7.%8.%9."/>
      <w:lvlJc w:val="left"/>
      <w:pPr>
        <w:ind w:left="8408" w:hanging="1800"/>
      </w:pPr>
    </w:lvl>
  </w:abstractNum>
  <w:abstractNum w:abstractNumId="4">
    <w:nsid w:val="580175E4"/>
    <w:multiLevelType w:val="hybridMultilevel"/>
    <w:tmpl w:val="7DE0A17C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6A"/>
    <w:rsid w:val="0015746A"/>
    <w:rsid w:val="003F05B5"/>
    <w:rsid w:val="00A10651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5746A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74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746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5746A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5746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5746A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74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746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5746A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5746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2020-09-17T11:41:00Z</dcterms:created>
  <dcterms:modified xsi:type="dcterms:W3CDTF">2020-09-17T11:44:00Z</dcterms:modified>
</cp:coreProperties>
</file>